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tblpY="2776"/>
        <w:tblW w:w="9838" w:type="dxa"/>
        <w:tblLook w:val="04A0" w:firstRow="1" w:lastRow="0" w:firstColumn="1" w:lastColumn="0" w:noHBand="0" w:noVBand="1"/>
      </w:tblPr>
      <w:tblGrid>
        <w:gridCol w:w="3720"/>
        <w:gridCol w:w="1945"/>
        <w:gridCol w:w="2041"/>
        <w:gridCol w:w="2132"/>
      </w:tblGrid>
      <w:tr w:rsidR="0005217B" w:rsidRPr="0005217B" w:rsidTr="000D5A64">
        <w:trPr>
          <w:trHeight w:val="454"/>
        </w:trPr>
        <w:tc>
          <w:tcPr>
            <w:tcW w:w="3720" w:type="dxa"/>
          </w:tcPr>
          <w:p w:rsidR="0005217B" w:rsidRPr="0005217B" w:rsidRDefault="0005217B" w:rsidP="000D5A64"/>
        </w:tc>
        <w:tc>
          <w:tcPr>
            <w:tcW w:w="1945" w:type="dxa"/>
          </w:tcPr>
          <w:p w:rsidR="0005217B" w:rsidRPr="0005217B" w:rsidRDefault="0005217B" w:rsidP="000D5A64">
            <w:r>
              <w:t>Cena bez DPH</w:t>
            </w:r>
          </w:p>
        </w:tc>
        <w:tc>
          <w:tcPr>
            <w:tcW w:w="2041" w:type="dxa"/>
          </w:tcPr>
          <w:p w:rsidR="0005217B" w:rsidRPr="0005217B" w:rsidRDefault="0005217B" w:rsidP="000D5A64">
            <w:r>
              <w:t>DPH</w:t>
            </w:r>
          </w:p>
        </w:tc>
        <w:tc>
          <w:tcPr>
            <w:tcW w:w="2132" w:type="dxa"/>
          </w:tcPr>
          <w:p w:rsidR="0005217B" w:rsidRPr="0005217B" w:rsidRDefault="0005217B" w:rsidP="000D5A64">
            <w:r>
              <w:t>Cena s DPH</w:t>
            </w:r>
          </w:p>
        </w:tc>
      </w:tr>
      <w:tr w:rsidR="0005217B" w:rsidRPr="0005217B" w:rsidTr="000D5A64">
        <w:trPr>
          <w:trHeight w:val="454"/>
        </w:trPr>
        <w:tc>
          <w:tcPr>
            <w:tcW w:w="3720" w:type="dxa"/>
          </w:tcPr>
          <w:p w:rsidR="0005217B" w:rsidRPr="0005217B" w:rsidRDefault="0005217B" w:rsidP="000D5A64">
            <w:r w:rsidRPr="0005217B">
              <w:rPr>
                <w:lang w:val="de-DE"/>
              </w:rPr>
              <w:t xml:space="preserve">Modulární stavební systém </w:t>
            </w:r>
            <w:r w:rsidRPr="0005217B">
              <w:rPr>
                <w:b/>
                <w:lang w:val="de-DE"/>
              </w:rPr>
              <w:t>6 ks buněk</w:t>
            </w:r>
          </w:p>
        </w:tc>
        <w:tc>
          <w:tcPr>
            <w:tcW w:w="1945" w:type="dxa"/>
          </w:tcPr>
          <w:p w:rsidR="0005217B" w:rsidRPr="0005217B" w:rsidRDefault="0005217B" w:rsidP="000D5A64"/>
        </w:tc>
        <w:tc>
          <w:tcPr>
            <w:tcW w:w="2041" w:type="dxa"/>
          </w:tcPr>
          <w:p w:rsidR="0005217B" w:rsidRPr="0005217B" w:rsidRDefault="0005217B" w:rsidP="000D5A64"/>
        </w:tc>
        <w:tc>
          <w:tcPr>
            <w:tcW w:w="2132" w:type="dxa"/>
          </w:tcPr>
          <w:p w:rsidR="0005217B" w:rsidRPr="0005217B" w:rsidRDefault="0005217B" w:rsidP="000D5A64">
            <w:pPr>
              <w:ind w:left="515"/>
            </w:pPr>
          </w:p>
        </w:tc>
      </w:tr>
      <w:tr w:rsidR="0005217B" w:rsidRPr="0005217B" w:rsidTr="000D5A64">
        <w:trPr>
          <w:trHeight w:val="454"/>
        </w:trPr>
        <w:tc>
          <w:tcPr>
            <w:tcW w:w="3720" w:type="dxa"/>
          </w:tcPr>
          <w:p w:rsidR="0005217B" w:rsidRPr="0005217B" w:rsidRDefault="0005217B" w:rsidP="000D5A64">
            <w:r w:rsidRPr="0005217B">
              <w:t>Doprava do místa určení: Lanškroun</w:t>
            </w:r>
          </w:p>
        </w:tc>
        <w:tc>
          <w:tcPr>
            <w:tcW w:w="1945" w:type="dxa"/>
          </w:tcPr>
          <w:p w:rsidR="0005217B" w:rsidRPr="0005217B" w:rsidRDefault="0005217B" w:rsidP="000D5A64"/>
        </w:tc>
        <w:tc>
          <w:tcPr>
            <w:tcW w:w="2041" w:type="dxa"/>
          </w:tcPr>
          <w:p w:rsidR="0005217B" w:rsidRPr="0005217B" w:rsidRDefault="0005217B" w:rsidP="000D5A64"/>
        </w:tc>
        <w:tc>
          <w:tcPr>
            <w:tcW w:w="2132" w:type="dxa"/>
          </w:tcPr>
          <w:p w:rsidR="0005217B" w:rsidRPr="0005217B" w:rsidRDefault="0005217B" w:rsidP="000D5A64">
            <w:pPr>
              <w:ind w:left="785"/>
            </w:pPr>
          </w:p>
        </w:tc>
      </w:tr>
      <w:tr w:rsidR="0005217B" w:rsidRPr="0005217B" w:rsidTr="000D5A64">
        <w:trPr>
          <w:trHeight w:val="454"/>
        </w:trPr>
        <w:tc>
          <w:tcPr>
            <w:tcW w:w="3720" w:type="dxa"/>
          </w:tcPr>
          <w:p w:rsidR="0005217B" w:rsidRPr="0005217B" w:rsidRDefault="0005217B" w:rsidP="000D5A64">
            <w:r w:rsidRPr="0005217B">
              <w:t>Manipulace nakládka/vykládka</w:t>
            </w:r>
          </w:p>
        </w:tc>
        <w:tc>
          <w:tcPr>
            <w:tcW w:w="1945" w:type="dxa"/>
          </w:tcPr>
          <w:p w:rsidR="0005217B" w:rsidRPr="0005217B" w:rsidRDefault="0005217B" w:rsidP="000D5A64"/>
        </w:tc>
        <w:tc>
          <w:tcPr>
            <w:tcW w:w="2041" w:type="dxa"/>
          </w:tcPr>
          <w:p w:rsidR="0005217B" w:rsidRPr="0005217B" w:rsidRDefault="0005217B" w:rsidP="000D5A64"/>
        </w:tc>
        <w:tc>
          <w:tcPr>
            <w:tcW w:w="2132" w:type="dxa"/>
          </w:tcPr>
          <w:p w:rsidR="0005217B" w:rsidRPr="0005217B" w:rsidRDefault="0005217B" w:rsidP="000D5A64">
            <w:pPr>
              <w:ind w:left="935"/>
            </w:pPr>
          </w:p>
        </w:tc>
      </w:tr>
      <w:tr w:rsidR="0005217B" w:rsidRPr="0005217B" w:rsidTr="000D5A64">
        <w:trPr>
          <w:trHeight w:val="454"/>
        </w:trPr>
        <w:tc>
          <w:tcPr>
            <w:tcW w:w="3720" w:type="dxa"/>
          </w:tcPr>
          <w:p w:rsidR="0005217B" w:rsidRPr="0005217B" w:rsidRDefault="0005217B" w:rsidP="000D5A64">
            <w:r w:rsidRPr="0005217B">
              <w:t>Montáž: Lanškroun</w:t>
            </w:r>
          </w:p>
        </w:tc>
        <w:tc>
          <w:tcPr>
            <w:tcW w:w="1945" w:type="dxa"/>
          </w:tcPr>
          <w:p w:rsidR="0005217B" w:rsidRPr="0005217B" w:rsidRDefault="0005217B" w:rsidP="000D5A64"/>
        </w:tc>
        <w:tc>
          <w:tcPr>
            <w:tcW w:w="2041" w:type="dxa"/>
          </w:tcPr>
          <w:p w:rsidR="0005217B" w:rsidRPr="0005217B" w:rsidRDefault="0005217B" w:rsidP="000D5A64"/>
        </w:tc>
        <w:tc>
          <w:tcPr>
            <w:tcW w:w="2132" w:type="dxa"/>
          </w:tcPr>
          <w:p w:rsidR="0005217B" w:rsidRPr="0005217B" w:rsidRDefault="0005217B" w:rsidP="000D5A64">
            <w:pPr>
              <w:ind w:left="830"/>
            </w:pPr>
          </w:p>
        </w:tc>
      </w:tr>
      <w:tr w:rsidR="0005217B" w:rsidRPr="0005217B" w:rsidTr="000D5A64">
        <w:trPr>
          <w:trHeight w:val="454"/>
        </w:trPr>
        <w:tc>
          <w:tcPr>
            <w:tcW w:w="3720" w:type="dxa"/>
            <w:tcBorders>
              <w:bottom w:val="single" w:sz="4" w:space="0" w:color="auto"/>
            </w:tcBorders>
          </w:tcPr>
          <w:p w:rsidR="0005217B" w:rsidRPr="0005217B" w:rsidRDefault="0005217B" w:rsidP="000D5A64">
            <w:pPr>
              <w:rPr>
                <w:b/>
              </w:rPr>
            </w:pPr>
            <w:r>
              <w:rPr>
                <w:b/>
              </w:rPr>
              <w:t>Celkem</w:t>
            </w:r>
          </w:p>
        </w:tc>
        <w:tc>
          <w:tcPr>
            <w:tcW w:w="1945" w:type="dxa"/>
            <w:tcBorders>
              <w:bottom w:val="single" w:sz="4" w:space="0" w:color="auto"/>
            </w:tcBorders>
          </w:tcPr>
          <w:p w:rsidR="0005217B" w:rsidRPr="0005217B" w:rsidRDefault="0005217B" w:rsidP="000D5A64">
            <w:pPr>
              <w:rPr>
                <w:b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05217B" w:rsidRPr="0005217B" w:rsidRDefault="0005217B" w:rsidP="000D5A64">
            <w:pPr>
              <w:rPr>
                <w:b/>
              </w:rPr>
            </w:pPr>
          </w:p>
        </w:tc>
        <w:tc>
          <w:tcPr>
            <w:tcW w:w="2132" w:type="dxa"/>
            <w:tcBorders>
              <w:bottom w:val="single" w:sz="4" w:space="0" w:color="auto"/>
            </w:tcBorders>
          </w:tcPr>
          <w:p w:rsidR="0005217B" w:rsidRPr="0005217B" w:rsidRDefault="0005217B" w:rsidP="000D5A64">
            <w:pPr>
              <w:ind w:left="590"/>
              <w:rPr>
                <w:b/>
              </w:rPr>
            </w:pPr>
          </w:p>
        </w:tc>
      </w:tr>
    </w:tbl>
    <w:p w:rsidR="000D5A64" w:rsidRDefault="000D5A64" w:rsidP="007720D1">
      <w:pPr>
        <w:rPr>
          <w:sz w:val="28"/>
          <w:szCs w:val="28"/>
        </w:rPr>
      </w:pPr>
    </w:p>
    <w:p w:rsidR="007720D1" w:rsidRPr="000D5A64" w:rsidRDefault="00472023" w:rsidP="007720D1">
      <w:pPr>
        <w:rPr>
          <w:sz w:val="28"/>
          <w:szCs w:val="28"/>
        </w:rPr>
      </w:pPr>
      <w:r w:rsidRPr="000D5A64">
        <w:rPr>
          <w:sz w:val="28"/>
          <w:szCs w:val="28"/>
        </w:rPr>
        <w:t>Rozpočet:</w:t>
      </w:r>
      <w:r w:rsidR="00D93ACC">
        <w:rPr>
          <w:sz w:val="28"/>
          <w:szCs w:val="28"/>
        </w:rPr>
        <w:t xml:space="preserve">  </w:t>
      </w:r>
      <w:r w:rsidR="00D93ACC" w:rsidRPr="00D93ACC">
        <w:rPr>
          <w:b/>
          <w:bCs/>
          <w:sz w:val="28"/>
          <w:szCs w:val="28"/>
        </w:rPr>
        <w:t>Šatny u haly B. Modrého – buňkový systém</w:t>
      </w:r>
      <w:r w:rsidR="00D93ACC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7720D1" w:rsidRPr="007720D1" w:rsidRDefault="007720D1" w:rsidP="007720D1">
      <w:pPr>
        <w:rPr>
          <w:b/>
        </w:rPr>
      </w:pPr>
    </w:p>
    <w:p w:rsidR="000D5A64" w:rsidRDefault="000D5A64" w:rsidP="007720D1">
      <w:pPr>
        <w:rPr>
          <w:bCs/>
        </w:rPr>
      </w:pPr>
    </w:p>
    <w:p w:rsidR="007720D1" w:rsidRPr="0005217B" w:rsidRDefault="0005217B" w:rsidP="007720D1">
      <w:pPr>
        <w:rPr>
          <w:bCs/>
        </w:rPr>
      </w:pPr>
      <w:r>
        <w:rPr>
          <w:bCs/>
        </w:rPr>
        <w:t xml:space="preserve">Položkou </w:t>
      </w:r>
      <w:r w:rsidRPr="0005217B">
        <w:rPr>
          <w:b/>
          <w:bCs/>
        </w:rPr>
        <w:t>modulární stavební systém 6 ks buněk</w:t>
      </w:r>
      <w:r>
        <w:rPr>
          <w:bCs/>
        </w:rPr>
        <w:t xml:space="preserve"> se rozumí cena kompletní se</w:t>
      </w:r>
      <w:r w:rsidR="00472023">
        <w:rPr>
          <w:bCs/>
        </w:rPr>
        <w:t xml:space="preserve">stavy buněk, stanovená na základě požadavků zadavatele, které jsou specifikovány v </w:t>
      </w:r>
      <w:r>
        <w:rPr>
          <w:bCs/>
        </w:rPr>
        <w:t xml:space="preserve">technických </w:t>
      </w:r>
      <w:r w:rsidR="00472023">
        <w:rPr>
          <w:bCs/>
        </w:rPr>
        <w:t>podmínkách dodávky.</w:t>
      </w:r>
    </w:p>
    <w:p w:rsidR="007720D1" w:rsidRPr="007720D1" w:rsidRDefault="00A11AC9" w:rsidP="007720D1">
      <w:pPr>
        <w:rPr>
          <w:b/>
          <w:u w:val="single"/>
        </w:rPr>
      </w:pPr>
      <w:r>
        <w:rPr>
          <w:b/>
          <w:u w:val="single"/>
        </w:rPr>
        <w:t>V nabídce nebudou</w:t>
      </w:r>
      <w:r w:rsidR="007720D1" w:rsidRPr="007720D1">
        <w:rPr>
          <w:b/>
          <w:u w:val="single"/>
        </w:rPr>
        <w:t xml:space="preserve"> kalkulovány tyto položky: </w:t>
      </w:r>
    </w:p>
    <w:p w:rsidR="007720D1" w:rsidRPr="007720D1" w:rsidRDefault="007720D1" w:rsidP="007720D1">
      <w:pPr>
        <w:rPr>
          <w:u w:val="single"/>
        </w:rPr>
      </w:pPr>
      <w:r w:rsidRPr="007720D1">
        <w:t>Projektová dokumentace pro územní a stavební řízení, spodní stavba - základy, přípojky IS (přípojky vody, kanalizace, elektro), slaboproudé instalace, terénní úpravy, chodníky a komunikace, nájezdová rampa pro vozíčkáře, uzemnění kontejnerů – hromosvod, připojen</w:t>
      </w:r>
      <w:r w:rsidR="00A11AC9">
        <w:t>í na hlavní zdroj el. energie.</w:t>
      </w:r>
      <w:r w:rsidRPr="007720D1">
        <w:t xml:space="preserve">  </w:t>
      </w:r>
    </w:p>
    <w:p w:rsidR="007720D1" w:rsidRDefault="007720D1"/>
    <w:sectPr w:rsidR="00772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023" w:rsidRDefault="00472023" w:rsidP="00472023">
      <w:pPr>
        <w:spacing w:after="0" w:line="240" w:lineRule="auto"/>
      </w:pPr>
      <w:r>
        <w:separator/>
      </w:r>
    </w:p>
  </w:endnote>
  <w:endnote w:type="continuationSeparator" w:id="0">
    <w:p w:rsidR="00472023" w:rsidRDefault="00472023" w:rsidP="00472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023" w:rsidRDefault="00472023" w:rsidP="00472023">
      <w:pPr>
        <w:spacing w:after="0" w:line="240" w:lineRule="auto"/>
      </w:pPr>
      <w:r>
        <w:separator/>
      </w:r>
    </w:p>
  </w:footnote>
  <w:footnote w:type="continuationSeparator" w:id="0">
    <w:p w:rsidR="00472023" w:rsidRDefault="00472023" w:rsidP="004720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D1"/>
    <w:rsid w:val="0005217B"/>
    <w:rsid w:val="000D5A64"/>
    <w:rsid w:val="001F7CBC"/>
    <w:rsid w:val="00472023"/>
    <w:rsid w:val="007720D1"/>
    <w:rsid w:val="00A11AC9"/>
    <w:rsid w:val="00D9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29B9C-32B4-447C-BE58-0D58B5E3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2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023"/>
  </w:style>
  <w:style w:type="paragraph" w:styleId="Zpat">
    <w:name w:val="footer"/>
    <w:basedOn w:val="Normln"/>
    <w:link w:val="ZpatChar"/>
    <w:uiPriority w:val="99"/>
    <w:unhideWhenUsed/>
    <w:rsid w:val="00472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Sobek Jaromír</dc:creator>
  <cp:keywords/>
  <dc:description/>
  <cp:lastModifiedBy>Sobek Jaromír</cp:lastModifiedBy>
  <cp:revision>5</cp:revision>
  <dcterms:created xsi:type="dcterms:W3CDTF">2020-05-13T06:51:00Z</dcterms:created>
  <dcterms:modified xsi:type="dcterms:W3CDTF">2020-05-14T07:56:00Z</dcterms:modified>
</cp:coreProperties>
</file>